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5"/>
        <w:gridCol w:w="1060"/>
        <w:gridCol w:w="1042"/>
        <w:gridCol w:w="3620"/>
        <w:gridCol w:w="2499"/>
      </w:tblGrid>
      <w:tr w:rsidR="00096DC3" w:rsidRPr="00096DC3" w:rsidTr="00096DC3">
        <w:trPr>
          <w:trHeight w:val="255"/>
        </w:trPr>
        <w:tc>
          <w:tcPr>
            <w:tcW w:w="3385" w:type="dxa"/>
            <w:gridSpan w:val="3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Студијски програм</w:t>
            </w:r>
          </w:p>
        </w:tc>
        <w:tc>
          <w:tcPr>
            <w:tcW w:w="3663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Српска књижевност</w:t>
            </w:r>
          </w:p>
        </w:tc>
        <w:tc>
          <w:tcPr>
            <w:tcW w:w="2528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</w:tr>
      <w:tr w:rsidR="00096DC3" w:rsidRPr="00096DC3" w:rsidTr="00096DC3">
        <w:trPr>
          <w:trHeight w:val="255"/>
        </w:trPr>
        <w:tc>
          <w:tcPr>
            <w:tcW w:w="3385" w:type="dxa"/>
            <w:gridSpan w:val="3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Изборно подручје (модул)</w:t>
            </w:r>
          </w:p>
        </w:tc>
        <w:tc>
          <w:tcPr>
            <w:tcW w:w="3663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28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</w:tr>
      <w:tr w:rsidR="00096DC3" w:rsidRPr="00096DC3" w:rsidTr="00096DC3">
        <w:trPr>
          <w:trHeight w:val="255"/>
        </w:trPr>
        <w:tc>
          <w:tcPr>
            <w:tcW w:w="3385" w:type="dxa"/>
            <w:gridSpan w:val="3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Врста и ниво студија</w:t>
            </w:r>
          </w:p>
        </w:tc>
        <w:tc>
          <w:tcPr>
            <w:tcW w:w="3663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Мастер академске студије</w:t>
            </w:r>
          </w:p>
        </w:tc>
        <w:tc>
          <w:tcPr>
            <w:tcW w:w="2528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</w:tr>
      <w:tr w:rsidR="00096DC3" w:rsidRPr="00096DC3" w:rsidTr="00096DC3">
        <w:trPr>
          <w:trHeight w:val="255"/>
        </w:trPr>
        <w:tc>
          <w:tcPr>
            <w:tcW w:w="3385" w:type="dxa"/>
            <w:gridSpan w:val="3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Назив предмета</w:t>
            </w:r>
          </w:p>
        </w:tc>
        <w:tc>
          <w:tcPr>
            <w:tcW w:w="6191" w:type="dxa"/>
            <w:gridSpan w:val="2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</w:rPr>
            </w:pPr>
            <w:r w:rsidRPr="00096DC3">
              <w:rPr>
                <w:rFonts w:ascii="Times New Roman" w:hAnsi="Times New Roman" w:cs="Times New Roman"/>
                <w:b/>
              </w:rPr>
              <w:t>Вербална музика српске и светске књижевности</w:t>
            </w:r>
          </w:p>
        </w:tc>
      </w:tr>
      <w:tr w:rsidR="00096DC3" w:rsidRPr="00096DC3" w:rsidTr="00096DC3">
        <w:trPr>
          <w:trHeight w:val="255"/>
        </w:trPr>
        <w:tc>
          <w:tcPr>
            <w:tcW w:w="3385" w:type="dxa"/>
            <w:gridSpan w:val="3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Наставник (за предавања)</w:t>
            </w:r>
          </w:p>
        </w:tc>
        <w:tc>
          <w:tcPr>
            <w:tcW w:w="6191" w:type="dxa"/>
            <w:gridSpan w:val="2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proofErr w:type="spellStart"/>
            <w:r w:rsidRPr="00096DC3">
              <w:rPr>
                <w:rFonts w:ascii="Times New Roman" w:hAnsi="Times New Roman" w:cs="Times New Roman"/>
              </w:rPr>
              <w:t>доц</w:t>
            </w:r>
            <w:proofErr w:type="spellEnd"/>
            <w:r w:rsidRPr="00096DC3">
              <w:rPr>
                <w:rFonts w:ascii="Times New Roman" w:hAnsi="Times New Roman" w:cs="Times New Roman"/>
              </w:rPr>
              <w:t>. др Мина М. Ђурић</w:t>
            </w:r>
          </w:p>
        </w:tc>
      </w:tr>
      <w:tr w:rsidR="00096DC3" w:rsidRPr="00096DC3" w:rsidTr="00096DC3">
        <w:trPr>
          <w:trHeight w:val="255"/>
        </w:trPr>
        <w:tc>
          <w:tcPr>
            <w:tcW w:w="3385" w:type="dxa"/>
            <w:gridSpan w:val="3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Наставник/сарадник (за вежбе)</w:t>
            </w:r>
          </w:p>
        </w:tc>
        <w:tc>
          <w:tcPr>
            <w:tcW w:w="6191" w:type="dxa"/>
            <w:gridSpan w:val="2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proofErr w:type="spellStart"/>
            <w:r w:rsidRPr="00096DC3">
              <w:rPr>
                <w:rFonts w:ascii="Times New Roman" w:hAnsi="Times New Roman" w:cs="Times New Roman"/>
              </w:rPr>
              <w:t>доц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. др </w:t>
            </w:r>
            <w:proofErr w:type="spellStart"/>
            <w:r w:rsidRPr="00096DC3">
              <w:rPr>
                <w:rFonts w:ascii="Times New Roman" w:hAnsi="Times New Roman" w:cs="Times New Roman"/>
              </w:rPr>
              <w:t>Mина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М. Ђурић</w:t>
            </w:r>
          </w:p>
        </w:tc>
      </w:tr>
      <w:tr w:rsidR="00096DC3" w:rsidRPr="00096DC3" w:rsidTr="00096DC3">
        <w:trPr>
          <w:trHeight w:val="255"/>
        </w:trPr>
        <w:tc>
          <w:tcPr>
            <w:tcW w:w="3385" w:type="dxa"/>
            <w:gridSpan w:val="3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Наставник/сарадник (за ДОН)</w:t>
            </w:r>
          </w:p>
        </w:tc>
        <w:tc>
          <w:tcPr>
            <w:tcW w:w="6191" w:type="dxa"/>
            <w:gridSpan w:val="2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</w:tr>
      <w:tr w:rsidR="00096DC3" w:rsidRPr="00096DC3" w:rsidTr="00096DC3">
        <w:trPr>
          <w:trHeight w:val="255"/>
        </w:trPr>
        <w:tc>
          <w:tcPr>
            <w:tcW w:w="2333" w:type="dxa"/>
            <w:gridSpan w:val="2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Број ЕСПБ</w:t>
            </w:r>
          </w:p>
        </w:tc>
        <w:tc>
          <w:tcPr>
            <w:tcW w:w="1052" w:type="dxa"/>
            <w:noWrap/>
            <w:hideMark/>
          </w:tcPr>
          <w:p w:rsidR="00096DC3" w:rsidRPr="00096DC3" w:rsidRDefault="00096DC3" w:rsidP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63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Статус предмета (обавезни/изборни)</w:t>
            </w:r>
          </w:p>
        </w:tc>
        <w:tc>
          <w:tcPr>
            <w:tcW w:w="2528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изборни</w:t>
            </w:r>
          </w:p>
        </w:tc>
      </w:tr>
      <w:tr w:rsidR="00096DC3" w:rsidRPr="00096DC3" w:rsidTr="00096DC3">
        <w:trPr>
          <w:trHeight w:val="255"/>
        </w:trPr>
        <w:tc>
          <w:tcPr>
            <w:tcW w:w="1262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Услов</w:t>
            </w:r>
          </w:p>
        </w:tc>
        <w:tc>
          <w:tcPr>
            <w:tcW w:w="8314" w:type="dxa"/>
            <w:gridSpan w:val="4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</w:tr>
      <w:tr w:rsidR="00096DC3" w:rsidRPr="00096DC3" w:rsidTr="00096DC3">
        <w:trPr>
          <w:trHeight w:val="1170"/>
        </w:trPr>
        <w:tc>
          <w:tcPr>
            <w:tcW w:w="1262" w:type="dxa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Циљ предмета</w:t>
            </w:r>
          </w:p>
        </w:tc>
        <w:tc>
          <w:tcPr>
            <w:tcW w:w="8314" w:type="dxa"/>
            <w:gridSpan w:val="4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 xml:space="preserve">Студенти се упознају са аспектима </w:t>
            </w:r>
            <w:proofErr w:type="spellStart"/>
            <w:r w:rsidRPr="00096DC3">
              <w:rPr>
                <w:rFonts w:ascii="Times New Roman" w:hAnsi="Times New Roman" w:cs="Times New Roman"/>
              </w:rPr>
              <w:t>интердисциплинарог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96DC3">
              <w:rPr>
                <w:rFonts w:ascii="Times New Roman" w:hAnsi="Times New Roman" w:cs="Times New Roman"/>
              </w:rPr>
              <w:t>интермедијалног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проучавања књижевности и музике, као основама дисциплине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Word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and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Music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Studies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. Кроз теоријске текстове из ове области и анализу примера из српске и светске литературе студенти се обучавају за тумачење упоришта вербалне музике у књижевним делима. </w:t>
            </w:r>
          </w:p>
        </w:tc>
      </w:tr>
      <w:tr w:rsidR="00096DC3" w:rsidRPr="00096DC3" w:rsidTr="00096DC3">
        <w:trPr>
          <w:trHeight w:val="1290"/>
        </w:trPr>
        <w:tc>
          <w:tcPr>
            <w:tcW w:w="1262" w:type="dxa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Исход</w:t>
            </w:r>
            <w:r w:rsidRPr="00096DC3">
              <w:rPr>
                <w:rFonts w:ascii="Times New Roman" w:hAnsi="Times New Roman" w:cs="Times New Roman"/>
                <w:b/>
                <w:bCs/>
              </w:rPr>
              <w:br/>
              <w:t>предмета</w:t>
            </w:r>
          </w:p>
        </w:tc>
        <w:tc>
          <w:tcPr>
            <w:tcW w:w="8314" w:type="dxa"/>
            <w:gridSpan w:val="4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 xml:space="preserve">Студенти стичу академска знања о идејама </w:t>
            </w:r>
            <w:proofErr w:type="spellStart"/>
            <w:r w:rsidRPr="00096DC3">
              <w:rPr>
                <w:rFonts w:ascii="Times New Roman" w:hAnsi="Times New Roman" w:cs="Times New Roman"/>
              </w:rPr>
              <w:t>музикализације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фикције, </w:t>
            </w:r>
            <w:proofErr w:type="spellStart"/>
            <w:r w:rsidRPr="00096DC3">
              <w:rPr>
                <w:rFonts w:ascii="Times New Roman" w:hAnsi="Times New Roman" w:cs="Times New Roman"/>
              </w:rPr>
              <w:t>вербализације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музике, музичке </w:t>
            </w:r>
            <w:proofErr w:type="spellStart"/>
            <w:r w:rsidRPr="00096DC3">
              <w:rPr>
                <w:rFonts w:ascii="Times New Roman" w:hAnsi="Times New Roman" w:cs="Times New Roman"/>
              </w:rPr>
              <w:t>интертекстуалности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и другог. Биће оспособљени да своја знања и запажања из историје и теорије књижевности креативно активирају и повезују у склопу знања и умења која подразумевају слободне вештине, као и нека од најновијих истраживања веза књижевности, музике, филозофије, математике, феноменологије наступа, културне дипломатије. </w:t>
            </w:r>
          </w:p>
        </w:tc>
      </w:tr>
      <w:tr w:rsidR="00096DC3" w:rsidRPr="00096DC3" w:rsidTr="00096DC3">
        <w:trPr>
          <w:trHeight w:val="499"/>
        </w:trPr>
        <w:tc>
          <w:tcPr>
            <w:tcW w:w="9576" w:type="dxa"/>
            <w:gridSpan w:val="5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 xml:space="preserve">Садржај предмета </w:t>
            </w:r>
          </w:p>
        </w:tc>
      </w:tr>
      <w:tr w:rsidR="00096DC3" w:rsidRPr="00096DC3" w:rsidTr="00096DC3">
        <w:trPr>
          <w:trHeight w:val="1950"/>
        </w:trPr>
        <w:tc>
          <w:tcPr>
            <w:tcW w:w="1262" w:type="dxa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Теоријска</w:t>
            </w:r>
            <w:r w:rsidRPr="00096DC3">
              <w:rPr>
                <w:rFonts w:ascii="Times New Roman" w:hAnsi="Times New Roman" w:cs="Times New Roman"/>
                <w:b/>
                <w:bCs/>
              </w:rPr>
              <w:br/>
              <w:t>настава</w:t>
            </w:r>
          </w:p>
        </w:tc>
        <w:tc>
          <w:tcPr>
            <w:tcW w:w="8314" w:type="dxa"/>
            <w:gridSpan w:val="4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 xml:space="preserve">Представљање корпуса заједничких појмова теорије књижевности и теорије музике, као и њихових имплементација у различитим медијима; анализа </w:t>
            </w:r>
            <w:proofErr w:type="spellStart"/>
            <w:r w:rsidRPr="00096DC3">
              <w:rPr>
                <w:rFonts w:ascii="Times New Roman" w:hAnsi="Times New Roman" w:cs="Times New Roman"/>
              </w:rPr>
              <w:t>метадискурса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књижевности и музике; проучавање </w:t>
            </w:r>
            <w:proofErr w:type="spellStart"/>
            <w:r w:rsidRPr="00096DC3">
              <w:rPr>
                <w:rFonts w:ascii="Times New Roman" w:hAnsi="Times New Roman" w:cs="Times New Roman"/>
              </w:rPr>
              <w:t>версификацијских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система поезије и особености њихових транспозиција у музичким партитурама као основа смене поетичких парадигми у процесима модернизације књижевности и музике; </w:t>
            </w:r>
            <w:proofErr w:type="spellStart"/>
            <w:r w:rsidRPr="00096DC3">
              <w:rPr>
                <w:rFonts w:ascii="Times New Roman" w:hAnsi="Times New Roman" w:cs="Times New Roman"/>
              </w:rPr>
              <w:t>тумачењa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полифоније и </w:t>
            </w:r>
            <w:proofErr w:type="spellStart"/>
            <w:r w:rsidRPr="00096DC3">
              <w:rPr>
                <w:rFonts w:ascii="Times New Roman" w:hAnsi="Times New Roman" w:cs="Times New Roman"/>
              </w:rPr>
              <w:t>полиглосије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текста у вербалној музици превода књижевних дела; интерпретација веза књижевности и музике у контексту културне дипломатије и друго. </w:t>
            </w:r>
          </w:p>
        </w:tc>
      </w:tr>
      <w:tr w:rsidR="00096DC3" w:rsidRPr="00096DC3" w:rsidTr="00096DC3">
        <w:trPr>
          <w:trHeight w:val="2055"/>
        </w:trPr>
        <w:tc>
          <w:tcPr>
            <w:tcW w:w="1262" w:type="dxa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 xml:space="preserve">Практична настава (вежбе, ДОН, студијски </w:t>
            </w:r>
            <w:proofErr w:type="spellStart"/>
            <w:r w:rsidRPr="00096DC3">
              <w:rPr>
                <w:rFonts w:ascii="Times New Roman" w:hAnsi="Times New Roman" w:cs="Times New Roman"/>
                <w:b/>
                <w:bCs/>
              </w:rPr>
              <w:t>истражива-чки</w:t>
            </w:r>
            <w:proofErr w:type="spellEnd"/>
            <w:r w:rsidRPr="00096DC3">
              <w:rPr>
                <w:rFonts w:ascii="Times New Roman" w:hAnsi="Times New Roman" w:cs="Times New Roman"/>
                <w:b/>
                <w:bCs/>
              </w:rPr>
              <w:t xml:space="preserve"> рад)</w:t>
            </w:r>
          </w:p>
        </w:tc>
        <w:tc>
          <w:tcPr>
            <w:tcW w:w="8314" w:type="dxa"/>
            <w:gridSpan w:val="4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 xml:space="preserve">Кроз анализу сродности и разлика у оквирима заједничких жанрова књижевности и музике, текста као програмске основе музичког дела, музичких интересовања појединих књижевних стваралаца (нпр. Верлена, Хакслија, </w:t>
            </w:r>
            <w:proofErr w:type="spellStart"/>
            <w:r w:rsidRPr="00096DC3">
              <w:rPr>
                <w:rFonts w:ascii="Times New Roman" w:hAnsi="Times New Roman" w:cs="Times New Roman"/>
              </w:rPr>
              <w:t>Џојса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6DC3">
              <w:rPr>
                <w:rFonts w:ascii="Times New Roman" w:hAnsi="Times New Roman" w:cs="Times New Roman"/>
              </w:rPr>
              <w:t>Пастернака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, Мана, Ракића, Винавера, Настасијевића, Киша, Павића и других) и утицаја музике на форму одређених књижевних дела, на конкретним примерима текстова из српске и светске литературе практично се издвајају и подробно интерпретирају интердисциплинарне и </w:t>
            </w:r>
            <w:proofErr w:type="spellStart"/>
            <w:r w:rsidRPr="00096DC3">
              <w:rPr>
                <w:rFonts w:ascii="Times New Roman" w:hAnsi="Times New Roman" w:cs="Times New Roman"/>
              </w:rPr>
              <w:t>интермедијалне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везе, паралеле и дијалози репрезентативних дела књижевности и музике. </w:t>
            </w:r>
          </w:p>
        </w:tc>
      </w:tr>
      <w:tr w:rsidR="00096DC3" w:rsidRPr="00096DC3" w:rsidTr="00096DC3">
        <w:trPr>
          <w:trHeight w:val="255"/>
        </w:trPr>
        <w:tc>
          <w:tcPr>
            <w:tcW w:w="9576" w:type="dxa"/>
            <w:gridSpan w:val="5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Литература</w:t>
            </w:r>
          </w:p>
        </w:tc>
      </w:tr>
      <w:tr w:rsidR="00096DC3" w:rsidRPr="00096DC3" w:rsidTr="00096DC3">
        <w:trPr>
          <w:trHeight w:val="255"/>
        </w:trPr>
        <w:tc>
          <w:tcPr>
            <w:tcW w:w="1262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14" w:type="dxa"/>
            <w:gridSpan w:val="4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 xml:space="preserve">Teodor </w:t>
            </w:r>
            <w:proofErr w:type="spellStart"/>
            <w:r w:rsidRPr="00096DC3">
              <w:rPr>
                <w:rFonts w:ascii="Times New Roman" w:hAnsi="Times New Roman" w:cs="Times New Roman"/>
              </w:rPr>
              <w:t>Adorno</w:t>
            </w:r>
            <w:proofErr w:type="spellEnd"/>
            <w:r w:rsidRPr="00096DC3">
              <w:rPr>
                <w:rFonts w:ascii="Times New Roman" w:hAnsi="Times New Roman" w:cs="Times New Roman"/>
              </w:rPr>
              <w:t>,</w:t>
            </w:r>
            <w:r w:rsidRPr="00096DC3">
              <w:rPr>
                <w:rFonts w:ascii="Times New Roman" w:hAnsi="Times New Roman" w:cs="Times New Roman"/>
                <w:i/>
                <w:iCs/>
              </w:rPr>
              <w:t xml:space="preserve"> Filozofija nove muzike</w:t>
            </w:r>
            <w:r w:rsidRPr="00096DC3">
              <w:rPr>
                <w:rFonts w:ascii="Times New Roman" w:hAnsi="Times New Roman" w:cs="Times New Roman"/>
              </w:rPr>
              <w:t>, Beograd: Nolit, 1968.</w:t>
            </w:r>
          </w:p>
        </w:tc>
      </w:tr>
      <w:tr w:rsidR="00096DC3" w:rsidRPr="00096DC3" w:rsidTr="00096DC3">
        <w:trPr>
          <w:trHeight w:val="255"/>
        </w:trPr>
        <w:tc>
          <w:tcPr>
            <w:tcW w:w="1262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14" w:type="dxa"/>
            <w:gridSpan w:val="4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proofErr w:type="spellStart"/>
            <w:r w:rsidRPr="00096DC3">
              <w:rPr>
                <w:rFonts w:ascii="Times New Roman" w:hAnsi="Times New Roman" w:cs="Times New Roman"/>
              </w:rPr>
              <w:t>Werner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Wolf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, </w:t>
            </w:r>
            <w:r w:rsidRPr="00096DC3">
              <w:rPr>
                <w:rFonts w:ascii="Times New Roman" w:hAnsi="Times New Roman" w:cs="Times New Roman"/>
                <w:i/>
                <w:iCs/>
              </w:rPr>
              <w:t xml:space="preserve">The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Musicalization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of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Fiction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: A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Study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in the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Theory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and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History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of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Intermediality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, Amsterdam, Atlanta, GA: </w:t>
            </w:r>
            <w:proofErr w:type="spellStart"/>
            <w:r w:rsidRPr="00096DC3">
              <w:rPr>
                <w:rFonts w:ascii="Times New Roman" w:hAnsi="Times New Roman" w:cs="Times New Roman"/>
              </w:rPr>
              <w:t>Rodopi</w:t>
            </w:r>
            <w:proofErr w:type="spellEnd"/>
            <w:r w:rsidRPr="00096DC3">
              <w:rPr>
                <w:rFonts w:ascii="Times New Roman" w:hAnsi="Times New Roman" w:cs="Times New Roman"/>
              </w:rPr>
              <w:t>, 1999.</w:t>
            </w:r>
          </w:p>
        </w:tc>
      </w:tr>
      <w:tr w:rsidR="00096DC3" w:rsidRPr="00096DC3" w:rsidTr="00096DC3">
        <w:trPr>
          <w:trHeight w:val="255"/>
        </w:trPr>
        <w:tc>
          <w:tcPr>
            <w:tcW w:w="1262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14" w:type="dxa"/>
            <w:gridSpan w:val="4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proofErr w:type="spellStart"/>
            <w:r w:rsidRPr="00096DC3">
              <w:rPr>
                <w:rFonts w:ascii="Times New Roman" w:hAnsi="Times New Roman" w:cs="Times New Roman"/>
              </w:rPr>
              <w:t>Calvin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Brown</w:t>
            </w:r>
            <w:proofErr w:type="spellEnd"/>
            <w:r w:rsidRPr="00096DC3">
              <w:rPr>
                <w:rFonts w:ascii="Times New Roman" w:hAnsi="Times New Roman" w:cs="Times New Roman"/>
              </w:rPr>
              <w:t>,</w:t>
            </w:r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Music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and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Literature: A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Comparison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of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the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Arts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, Hanover, NH: </w:t>
            </w:r>
            <w:proofErr w:type="spellStart"/>
            <w:r w:rsidRPr="00096DC3">
              <w:rPr>
                <w:rFonts w:ascii="Times New Roman" w:hAnsi="Times New Roman" w:cs="Times New Roman"/>
              </w:rPr>
              <w:t>University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Press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of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New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England</w:t>
            </w:r>
            <w:proofErr w:type="spellEnd"/>
            <w:r w:rsidRPr="00096DC3">
              <w:rPr>
                <w:rFonts w:ascii="Times New Roman" w:hAnsi="Times New Roman" w:cs="Times New Roman"/>
              </w:rPr>
              <w:t>, 1948/87.</w:t>
            </w:r>
          </w:p>
        </w:tc>
      </w:tr>
      <w:tr w:rsidR="00096DC3" w:rsidRPr="00096DC3" w:rsidTr="00096DC3">
        <w:trPr>
          <w:trHeight w:val="255"/>
        </w:trPr>
        <w:tc>
          <w:tcPr>
            <w:tcW w:w="1262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14" w:type="dxa"/>
            <w:gridSpan w:val="4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proofErr w:type="spellStart"/>
            <w:r w:rsidRPr="00096DC3">
              <w:rPr>
                <w:rFonts w:ascii="Times New Roman" w:hAnsi="Times New Roman" w:cs="Times New Roman"/>
              </w:rPr>
              <w:t>Steven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Paul </w:t>
            </w:r>
            <w:proofErr w:type="spellStart"/>
            <w:r w:rsidRPr="00096DC3">
              <w:rPr>
                <w:rFonts w:ascii="Times New Roman" w:hAnsi="Times New Roman" w:cs="Times New Roman"/>
              </w:rPr>
              <w:t>Scher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Essays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on Literature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and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Music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(1967‒2004)</w:t>
            </w:r>
            <w:r w:rsidRPr="00096DC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6DC3">
              <w:rPr>
                <w:rFonts w:ascii="Times New Roman" w:hAnsi="Times New Roman" w:cs="Times New Roman"/>
              </w:rPr>
              <w:t>edited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by </w:t>
            </w:r>
            <w:proofErr w:type="spellStart"/>
            <w:r w:rsidRPr="00096DC3">
              <w:rPr>
                <w:rFonts w:ascii="Times New Roman" w:hAnsi="Times New Roman" w:cs="Times New Roman"/>
              </w:rPr>
              <w:t>Walter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Bernhart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and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Werner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Wolf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, Amsterdam, </w:t>
            </w:r>
            <w:proofErr w:type="spellStart"/>
            <w:r w:rsidRPr="00096DC3">
              <w:rPr>
                <w:rFonts w:ascii="Times New Roman" w:hAnsi="Times New Roman" w:cs="Times New Roman"/>
              </w:rPr>
              <w:t>New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York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096DC3">
              <w:rPr>
                <w:rFonts w:ascii="Times New Roman" w:hAnsi="Times New Roman" w:cs="Times New Roman"/>
              </w:rPr>
              <w:t>Rodopi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, 2004. </w:t>
            </w:r>
          </w:p>
        </w:tc>
      </w:tr>
      <w:tr w:rsidR="00096DC3" w:rsidRPr="00096DC3" w:rsidTr="00096DC3">
        <w:trPr>
          <w:trHeight w:val="255"/>
        </w:trPr>
        <w:tc>
          <w:tcPr>
            <w:tcW w:w="1262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314" w:type="dxa"/>
            <w:gridSpan w:val="4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proofErr w:type="spellStart"/>
            <w:r w:rsidRPr="00096DC3">
              <w:rPr>
                <w:rFonts w:ascii="Times New Roman" w:hAnsi="Times New Roman" w:cs="Times New Roman"/>
              </w:rPr>
              <w:t>Edward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Said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Musical</w:t>
            </w:r>
            <w:proofErr w:type="spellEnd"/>
            <w:r w:rsidRPr="00096DC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  <w:i/>
                <w:iCs/>
              </w:rPr>
              <w:t>Elaborations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96DC3">
              <w:rPr>
                <w:rFonts w:ascii="Times New Roman" w:hAnsi="Times New Roman" w:cs="Times New Roman"/>
              </w:rPr>
              <w:t>New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York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096DC3">
              <w:rPr>
                <w:rFonts w:ascii="Times New Roman" w:hAnsi="Times New Roman" w:cs="Times New Roman"/>
              </w:rPr>
              <w:t>Columbia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University</w:t>
            </w:r>
            <w:proofErr w:type="spellEnd"/>
            <w:r w:rsidRPr="00096D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96DC3">
              <w:rPr>
                <w:rFonts w:ascii="Times New Roman" w:hAnsi="Times New Roman" w:cs="Times New Roman"/>
              </w:rPr>
              <w:t>Press</w:t>
            </w:r>
            <w:proofErr w:type="spellEnd"/>
            <w:r w:rsidRPr="00096DC3">
              <w:rPr>
                <w:rFonts w:ascii="Times New Roman" w:hAnsi="Times New Roman" w:cs="Times New Roman"/>
              </w:rPr>
              <w:t>, 1991.</w:t>
            </w:r>
          </w:p>
        </w:tc>
      </w:tr>
      <w:tr w:rsidR="00096DC3" w:rsidRPr="00096DC3" w:rsidTr="00096DC3">
        <w:trPr>
          <w:trHeight w:val="255"/>
        </w:trPr>
        <w:tc>
          <w:tcPr>
            <w:tcW w:w="9576" w:type="dxa"/>
            <w:gridSpan w:val="5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Број часова активне наставе недељно током семестра/триместра/године</w:t>
            </w:r>
          </w:p>
        </w:tc>
      </w:tr>
      <w:tr w:rsidR="00096DC3" w:rsidRPr="00096DC3" w:rsidTr="00096DC3">
        <w:trPr>
          <w:trHeight w:val="285"/>
        </w:trPr>
        <w:tc>
          <w:tcPr>
            <w:tcW w:w="1262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Предавања</w:t>
            </w:r>
          </w:p>
        </w:tc>
        <w:tc>
          <w:tcPr>
            <w:tcW w:w="1071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Вежбе</w:t>
            </w:r>
          </w:p>
        </w:tc>
        <w:tc>
          <w:tcPr>
            <w:tcW w:w="1052" w:type="dxa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ДОН</w:t>
            </w:r>
          </w:p>
        </w:tc>
        <w:tc>
          <w:tcPr>
            <w:tcW w:w="3663" w:type="dxa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Студијски истраживачки рад</w:t>
            </w:r>
          </w:p>
        </w:tc>
        <w:tc>
          <w:tcPr>
            <w:tcW w:w="2528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Остали часови</w:t>
            </w:r>
          </w:p>
        </w:tc>
      </w:tr>
      <w:tr w:rsidR="00096DC3" w:rsidRPr="00096DC3" w:rsidTr="00096DC3">
        <w:trPr>
          <w:trHeight w:val="435"/>
        </w:trPr>
        <w:tc>
          <w:tcPr>
            <w:tcW w:w="1262" w:type="dxa"/>
            <w:hideMark/>
          </w:tcPr>
          <w:p w:rsidR="00096DC3" w:rsidRPr="00096DC3" w:rsidRDefault="00096DC3" w:rsidP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71" w:type="dxa"/>
            <w:noWrap/>
            <w:hideMark/>
          </w:tcPr>
          <w:p w:rsidR="00096DC3" w:rsidRPr="00096DC3" w:rsidRDefault="00096DC3" w:rsidP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2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63" w:type="dxa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28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</w:tr>
      <w:tr w:rsidR="00096DC3" w:rsidRPr="00096DC3" w:rsidTr="00096DC3">
        <w:trPr>
          <w:trHeight w:val="848"/>
        </w:trPr>
        <w:tc>
          <w:tcPr>
            <w:tcW w:w="1262" w:type="dxa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Методе</w:t>
            </w:r>
            <w:r w:rsidRPr="00096DC3">
              <w:rPr>
                <w:rFonts w:ascii="Times New Roman" w:hAnsi="Times New Roman" w:cs="Times New Roman"/>
                <w:b/>
                <w:bCs/>
              </w:rPr>
              <w:br/>
              <w:t>извођења</w:t>
            </w:r>
            <w:r w:rsidRPr="00096DC3">
              <w:rPr>
                <w:rFonts w:ascii="Times New Roman" w:hAnsi="Times New Roman" w:cs="Times New Roman"/>
                <w:b/>
                <w:bCs/>
              </w:rPr>
              <w:br/>
              <w:t>наставе</w:t>
            </w:r>
          </w:p>
        </w:tc>
        <w:tc>
          <w:tcPr>
            <w:tcW w:w="8314" w:type="dxa"/>
            <w:gridSpan w:val="4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Предавања, вежбе, интерактивна настава, музичка предавања, рад у групама, самостални истраживачки рад, дискусије.</w:t>
            </w:r>
          </w:p>
        </w:tc>
      </w:tr>
      <w:tr w:rsidR="00096DC3" w:rsidRPr="00096DC3" w:rsidTr="00096DC3">
        <w:trPr>
          <w:trHeight w:val="255"/>
        </w:trPr>
        <w:tc>
          <w:tcPr>
            <w:tcW w:w="9576" w:type="dxa"/>
            <w:gridSpan w:val="5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Оцена знања (максимални број поена 100)</w:t>
            </w:r>
          </w:p>
        </w:tc>
      </w:tr>
      <w:tr w:rsidR="00096DC3" w:rsidRPr="00096DC3" w:rsidTr="00096DC3">
        <w:trPr>
          <w:trHeight w:val="255"/>
        </w:trPr>
        <w:tc>
          <w:tcPr>
            <w:tcW w:w="2333" w:type="dxa"/>
            <w:gridSpan w:val="2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Предиспитне обавезе</w:t>
            </w:r>
          </w:p>
        </w:tc>
        <w:tc>
          <w:tcPr>
            <w:tcW w:w="1052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поена</w:t>
            </w:r>
          </w:p>
        </w:tc>
        <w:tc>
          <w:tcPr>
            <w:tcW w:w="3663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Завршни испит</w:t>
            </w:r>
          </w:p>
        </w:tc>
        <w:tc>
          <w:tcPr>
            <w:tcW w:w="2528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поена</w:t>
            </w:r>
          </w:p>
        </w:tc>
      </w:tr>
      <w:tr w:rsidR="00096DC3" w:rsidRPr="00096DC3" w:rsidTr="00096DC3">
        <w:trPr>
          <w:trHeight w:val="495"/>
        </w:trPr>
        <w:tc>
          <w:tcPr>
            <w:tcW w:w="2333" w:type="dxa"/>
            <w:gridSpan w:val="2"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 xml:space="preserve">активност у току </w:t>
            </w:r>
            <w:r w:rsidRPr="00096DC3">
              <w:rPr>
                <w:rFonts w:ascii="Times New Roman" w:hAnsi="Times New Roman" w:cs="Times New Roman"/>
                <w:b/>
                <w:bCs/>
              </w:rPr>
              <w:br/>
              <w:t>предавања</w:t>
            </w:r>
          </w:p>
        </w:tc>
        <w:tc>
          <w:tcPr>
            <w:tcW w:w="1052" w:type="dxa"/>
            <w:noWrap/>
            <w:hideMark/>
          </w:tcPr>
          <w:p w:rsidR="00096DC3" w:rsidRPr="00096DC3" w:rsidRDefault="00096DC3" w:rsidP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63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писмени испит</w:t>
            </w:r>
          </w:p>
        </w:tc>
        <w:tc>
          <w:tcPr>
            <w:tcW w:w="2528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</w:tr>
      <w:tr w:rsidR="00096DC3" w:rsidRPr="00096DC3" w:rsidTr="00096DC3">
        <w:trPr>
          <w:trHeight w:val="255"/>
        </w:trPr>
        <w:tc>
          <w:tcPr>
            <w:tcW w:w="2333" w:type="dxa"/>
            <w:gridSpan w:val="2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практична настава</w:t>
            </w:r>
          </w:p>
        </w:tc>
        <w:tc>
          <w:tcPr>
            <w:tcW w:w="1052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663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усмени испит</w:t>
            </w:r>
          </w:p>
        </w:tc>
        <w:tc>
          <w:tcPr>
            <w:tcW w:w="2528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 </w:t>
            </w:r>
          </w:p>
        </w:tc>
      </w:tr>
      <w:tr w:rsidR="00096DC3" w:rsidRPr="00096DC3" w:rsidTr="00096DC3">
        <w:trPr>
          <w:trHeight w:val="255"/>
        </w:trPr>
        <w:tc>
          <w:tcPr>
            <w:tcW w:w="2333" w:type="dxa"/>
            <w:gridSpan w:val="2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колоквијуми</w:t>
            </w:r>
          </w:p>
        </w:tc>
        <w:tc>
          <w:tcPr>
            <w:tcW w:w="1052" w:type="dxa"/>
            <w:noWrap/>
            <w:hideMark/>
          </w:tcPr>
          <w:p w:rsidR="00096DC3" w:rsidRPr="00096DC3" w:rsidRDefault="00096DC3" w:rsidP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663" w:type="dxa"/>
            <w:noWrap/>
            <w:hideMark/>
          </w:tcPr>
          <w:p w:rsidR="00096DC3" w:rsidRPr="00096DC3" w:rsidRDefault="00096DC3">
            <w:pPr>
              <w:rPr>
                <w:rFonts w:ascii="Times New Roman" w:hAnsi="Times New Roman" w:cs="Times New Roman"/>
                <w:b/>
                <w:bCs/>
              </w:rPr>
            </w:pPr>
            <w:r w:rsidRPr="00096DC3">
              <w:rPr>
                <w:rFonts w:ascii="Times New Roman" w:hAnsi="Times New Roman" w:cs="Times New Roman"/>
                <w:b/>
                <w:bCs/>
              </w:rPr>
              <w:t>завршни рад</w:t>
            </w:r>
          </w:p>
        </w:tc>
        <w:tc>
          <w:tcPr>
            <w:tcW w:w="2528" w:type="dxa"/>
            <w:noWrap/>
            <w:hideMark/>
          </w:tcPr>
          <w:p w:rsidR="00096DC3" w:rsidRPr="00096DC3" w:rsidRDefault="00096DC3" w:rsidP="00096DC3">
            <w:pPr>
              <w:rPr>
                <w:rFonts w:ascii="Times New Roman" w:hAnsi="Times New Roman" w:cs="Times New Roman"/>
              </w:rPr>
            </w:pPr>
            <w:r w:rsidRPr="00096DC3">
              <w:rPr>
                <w:rFonts w:ascii="Times New Roman" w:hAnsi="Times New Roman" w:cs="Times New Roman"/>
              </w:rPr>
              <w:t>60</w:t>
            </w:r>
          </w:p>
        </w:tc>
      </w:tr>
    </w:tbl>
    <w:p w:rsidR="009C5B8D" w:rsidRDefault="009C5B8D">
      <w:bookmarkStart w:id="0" w:name="_GoBack"/>
      <w:bookmarkEnd w:id="0"/>
    </w:p>
    <w:sectPr w:rsidR="009C5B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DC3"/>
    <w:rsid w:val="00096DC3"/>
    <w:rsid w:val="00570664"/>
    <w:rsid w:val="006A63A1"/>
    <w:rsid w:val="009C5B8D"/>
    <w:rsid w:val="009D617F"/>
    <w:rsid w:val="00F9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6D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1</cp:revision>
  <dcterms:created xsi:type="dcterms:W3CDTF">2020-06-05T10:00:00Z</dcterms:created>
  <dcterms:modified xsi:type="dcterms:W3CDTF">2020-06-05T10:01:00Z</dcterms:modified>
</cp:coreProperties>
</file>